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358D8" w14:textId="77777777" w:rsidR="00BB5AD5" w:rsidRPr="00BF608A" w:rsidRDefault="00BB5AD5" w:rsidP="00BB5AD5">
      <w:pPr>
        <w:pStyle w:val="aa"/>
        <w:ind w:leftChars="0"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08A">
        <w:rPr>
          <w:rFonts w:ascii="Times New Roman" w:hAnsi="Times New Roman" w:cs="Times New Roman"/>
          <w:b/>
          <w:bCs/>
          <w:sz w:val="28"/>
          <w:szCs w:val="28"/>
        </w:rPr>
        <w:t>Aseismic slip and seismic swarms leading up to the 2024 M7.3 Hualien earthquake</w:t>
      </w:r>
    </w:p>
    <w:p w14:paraId="5F4C5CF1" w14:textId="77777777" w:rsidR="00A748A1" w:rsidRPr="00BB5AD5" w:rsidRDefault="00A748A1" w:rsidP="00A748A1">
      <w:pPr>
        <w:jc w:val="center"/>
        <w:rPr>
          <w:sz w:val="24"/>
          <w:szCs w:val="24"/>
          <w:lang w:val="en-US"/>
        </w:rPr>
      </w:pPr>
    </w:p>
    <w:p w14:paraId="051B2451" w14:textId="6997FB83" w:rsidR="00F7071B" w:rsidRDefault="00F7071B" w:rsidP="00F7071B">
      <w:pPr>
        <w:jc w:val="center"/>
        <w:rPr>
          <w:rFonts w:ascii="Times New Roman" w:hAnsi="Times New Roman" w:cs="Times New Roman"/>
        </w:rPr>
      </w:pPr>
      <w:r w:rsidRPr="00BB5AD5">
        <w:rPr>
          <w:rFonts w:ascii="Times New Roman" w:hAnsi="Times New Roman" w:cs="Times New Roman"/>
          <w:u w:val="single"/>
        </w:rPr>
        <w:t xml:space="preserve">Kate </w:t>
      </w:r>
      <w:proofErr w:type="spellStart"/>
      <w:r w:rsidRPr="00BB5AD5">
        <w:rPr>
          <w:rFonts w:ascii="Times New Roman" w:hAnsi="Times New Roman" w:cs="Times New Roman"/>
          <w:u w:val="single"/>
        </w:rPr>
        <w:t>Huihsuan</w:t>
      </w:r>
      <w:proofErr w:type="spellEnd"/>
      <w:r w:rsidRPr="00BB5AD5">
        <w:rPr>
          <w:rFonts w:ascii="Times New Roman" w:hAnsi="Times New Roman" w:cs="Times New Roman"/>
          <w:u w:val="single"/>
        </w:rPr>
        <w:t xml:space="preserve"> Chen</w:t>
      </w:r>
      <w:r w:rsidRPr="006E3703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</w:t>
      </w:r>
      <w:r w:rsidRPr="00CF76DE">
        <w:rPr>
          <w:rFonts w:ascii="Times New Roman" w:hAnsi="Times New Roman" w:cs="Times New Roman"/>
        </w:rPr>
        <w:t xml:space="preserve"> Wei Peng</w:t>
      </w:r>
      <w:r w:rsidRPr="006E3703">
        <w:rPr>
          <w:rFonts w:ascii="Times New Roman" w:hAnsi="Times New Roman" w:cs="Times New Roman"/>
          <w:vertAlign w:val="superscript"/>
        </w:rPr>
        <w:t>1</w:t>
      </w:r>
      <w:r w:rsidRPr="00CF76DE">
        <w:rPr>
          <w:rFonts w:ascii="Times New Roman" w:hAnsi="Times New Roman" w:cs="Times New Roman"/>
        </w:rPr>
        <w:t>,</w:t>
      </w:r>
      <w:r w:rsidR="00D3684D">
        <w:rPr>
          <w:rFonts w:ascii="Times New Roman" w:hAnsi="Times New Roman" w:cs="Times New Roman"/>
        </w:rPr>
        <w:t xml:space="preserve"> </w:t>
      </w:r>
      <w:r w:rsidRPr="00CF76DE">
        <w:rPr>
          <w:rFonts w:ascii="Times New Roman" w:hAnsi="Times New Roman" w:cs="Times New Roman"/>
        </w:rPr>
        <w:t>Roland B</w:t>
      </w:r>
      <w:r>
        <w:rPr>
          <w:rFonts w:ascii="Times New Roman" w:hAnsi="Times New Roman" w:cs="Times New Roman"/>
        </w:rPr>
        <w:t>ü</w:t>
      </w:r>
      <w:r w:rsidRPr="00CF76DE">
        <w:rPr>
          <w:rFonts w:ascii="Times New Roman" w:hAnsi="Times New Roman" w:cs="Times New Roman"/>
        </w:rPr>
        <w:t>rgmann</w:t>
      </w:r>
      <w:r>
        <w:rPr>
          <w:rFonts w:ascii="Times New Roman" w:hAnsi="Times New Roman" w:cs="Times New Roman"/>
          <w:vertAlign w:val="superscript"/>
        </w:rPr>
        <w:t>2</w:t>
      </w:r>
    </w:p>
    <w:p w14:paraId="7D4CF4CA" w14:textId="77777777" w:rsidR="00F7071B" w:rsidRPr="006E3703" w:rsidRDefault="00F7071B" w:rsidP="00F7071B">
      <w:pPr>
        <w:pStyle w:val="aa"/>
        <w:numPr>
          <w:ilvl w:val="0"/>
          <w:numId w:val="1"/>
        </w:numPr>
        <w:ind w:leftChars="0"/>
        <w:jc w:val="center"/>
        <w:rPr>
          <w:rFonts w:ascii="Times New Roman" w:hAnsi="Times New Roman" w:cs="Times New Roman"/>
          <w:sz w:val="20"/>
          <w:szCs w:val="20"/>
        </w:rPr>
      </w:pPr>
      <w:r w:rsidRPr="006E3703">
        <w:rPr>
          <w:rFonts w:ascii="Times New Roman" w:hAnsi="Times New Roman" w:cs="Times New Roman"/>
          <w:sz w:val="20"/>
          <w:szCs w:val="20"/>
        </w:rPr>
        <w:t>Dept. of Earth Sciences, National Taiwan Normal Univ., Taiwan</w:t>
      </w:r>
    </w:p>
    <w:p w14:paraId="0C57E086" w14:textId="77777777" w:rsidR="00F7071B" w:rsidRPr="006E3703" w:rsidRDefault="00F7071B" w:rsidP="00F7071B">
      <w:pPr>
        <w:pStyle w:val="aa"/>
        <w:numPr>
          <w:ilvl w:val="0"/>
          <w:numId w:val="1"/>
        </w:numPr>
        <w:ind w:leftChars="0"/>
        <w:jc w:val="center"/>
        <w:rPr>
          <w:rFonts w:ascii="Times New Roman" w:hAnsi="Times New Roman" w:cs="Times New Roman"/>
          <w:sz w:val="20"/>
          <w:szCs w:val="20"/>
        </w:rPr>
      </w:pPr>
      <w:r w:rsidRPr="006E3703">
        <w:rPr>
          <w:rFonts w:ascii="Times New Roman" w:hAnsi="Times New Roman" w:cs="Times New Roman"/>
          <w:sz w:val="20"/>
          <w:szCs w:val="20"/>
        </w:rPr>
        <w:t>Berkeley Seismological Laboratory,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E3703">
        <w:rPr>
          <w:rFonts w:ascii="Times New Roman" w:hAnsi="Times New Roman" w:cs="Times New Roman"/>
          <w:sz w:val="20"/>
          <w:szCs w:val="20"/>
        </w:rPr>
        <w:t>Department of Earth and Planetary Science, University of California, Berkeley, California, USA</w:t>
      </w:r>
    </w:p>
    <w:p w14:paraId="3FEE27DC" w14:textId="48746328" w:rsidR="006E1730" w:rsidRPr="00F7071B" w:rsidRDefault="006E1730" w:rsidP="00225626">
      <w:pPr>
        <w:jc w:val="center"/>
        <w:rPr>
          <w:szCs w:val="24"/>
          <w:lang w:val="en-US"/>
        </w:rPr>
      </w:pPr>
    </w:p>
    <w:p w14:paraId="744A5903" w14:textId="03885571" w:rsidR="00D15A31" w:rsidRPr="00D07B8F" w:rsidRDefault="00D15A31" w:rsidP="00225626">
      <w:pPr>
        <w:jc w:val="center"/>
        <w:rPr>
          <w:szCs w:val="21"/>
          <w:lang w:val="en-US"/>
        </w:rPr>
      </w:pPr>
    </w:p>
    <w:p w14:paraId="029B30E8" w14:textId="6A6F7308" w:rsidR="00D3684D" w:rsidRDefault="00D3684D" w:rsidP="00D3684D">
      <w:pPr>
        <w:ind w:firstLine="480"/>
        <w:rPr>
          <w:rFonts w:ascii="Times New Roman" w:hAnsi="Times New Roman" w:cs="Times New Roman"/>
        </w:rPr>
      </w:pPr>
      <w:r w:rsidRPr="00D3684D">
        <w:rPr>
          <w:rFonts w:ascii="Times New Roman" w:hAnsi="Times New Roman" w:cs="Times New Roman"/>
          <w:color w:val="000000"/>
        </w:rPr>
        <w:t xml:space="preserve"> </w:t>
      </w:r>
      <w:r w:rsidRPr="00BF608A">
        <w:rPr>
          <w:rFonts w:ascii="Times New Roman" w:hAnsi="Times New Roman" w:cs="Times New Roman"/>
          <w:color w:val="000000"/>
        </w:rPr>
        <w:t xml:space="preserve">Recognizing the locations and timing of aseismic fault slip during the earthquake cycle may be critical for short-term earthquake forecasting and hazard assessment. </w:t>
      </w:r>
      <w:r w:rsidRPr="00BF608A">
        <w:rPr>
          <w:rFonts w:ascii="Times New Roman" w:hAnsi="Times New Roman" w:cs="Times New Roman"/>
          <w:color w:val="222222"/>
          <w:shd w:val="clear" w:color="auto" w:fill="FFFFFF"/>
        </w:rPr>
        <w:t xml:space="preserve">Abundant M ≥ 6 earthquakes and 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widespread </w:t>
      </w:r>
      <w:r w:rsidRPr="00BF608A">
        <w:rPr>
          <w:rFonts w:ascii="Times New Roman" w:hAnsi="Times New Roman" w:cs="Times New Roman"/>
          <w:color w:val="222222"/>
          <w:shd w:val="clear" w:color="auto" w:fill="FFFFFF"/>
        </w:rPr>
        <w:t xml:space="preserve">aseismic slip in a double-vergence suture in eastern Taiwan provide a rare opportunity to better understand the role of aseismic slip in earthquake cycle deformation and triggering relationships. </w:t>
      </w:r>
      <w:r w:rsidRPr="00BF608A">
        <w:rPr>
          <w:rFonts w:ascii="Times New Roman" w:hAnsi="Times New Roman" w:cs="Times New Roman"/>
          <w:color w:val="000000"/>
        </w:rPr>
        <w:t xml:space="preserve">By </w:t>
      </w:r>
      <w:r>
        <w:rPr>
          <w:rFonts w:ascii="Times New Roman" w:hAnsi="Times New Roman" w:cs="Times New Roman"/>
          <w:color w:val="000000"/>
        </w:rPr>
        <w:t xml:space="preserve">tracking aseismic slip captured by repeating earthquake sequences and earthquake swarms in eastern Taiwan from 2000 to mid 2024, </w:t>
      </w:r>
      <w:r w:rsidRPr="00BF608A">
        <w:rPr>
          <w:rFonts w:ascii="Times New Roman" w:hAnsi="Times New Roman" w:cs="Times New Roman"/>
          <w:color w:val="000000"/>
        </w:rPr>
        <w:t xml:space="preserve">we </w:t>
      </w:r>
      <w:r>
        <w:rPr>
          <w:rFonts w:ascii="Times New Roman" w:hAnsi="Times New Roman" w:cs="Times New Roman"/>
          <w:color w:val="000000"/>
        </w:rPr>
        <w:t>observed</w:t>
      </w:r>
      <w:r w:rsidRPr="00BF608A">
        <w:rPr>
          <w:rFonts w:ascii="Times New Roman" w:hAnsi="Times New Roman" w:cs="Times New Roman"/>
          <w:color w:val="000000"/>
        </w:rPr>
        <w:t xml:space="preserve"> an accelerati</w:t>
      </w:r>
      <w:r>
        <w:rPr>
          <w:rFonts w:ascii="Times New Roman" w:hAnsi="Times New Roman" w:cs="Times New Roman"/>
          <w:color w:val="000000"/>
        </w:rPr>
        <w:t xml:space="preserve">on of </w:t>
      </w:r>
      <w:r w:rsidRPr="00BF608A">
        <w:rPr>
          <w:rFonts w:ascii="Times New Roman" w:hAnsi="Times New Roman" w:cs="Times New Roman"/>
          <w:color w:val="000000"/>
        </w:rPr>
        <w:t xml:space="preserve">aseismic slip rate that occurred approximately three years preceding the April 3, 2024 Mw7.3 Hualien earthquake. The accelerated </w:t>
      </w:r>
      <w:r w:rsidRPr="00BF608A">
        <w:rPr>
          <w:rFonts w:ascii="Times New Roman" w:eastAsia="Hiragino Sans CNS W3" w:hAnsi="Times New Roman" w:cs="Times New Roman"/>
          <w:color w:val="000000"/>
        </w:rPr>
        <w:t>aseismic slip revealed by the repeating earthquake data was accompanied by a four-month-long active seismic swarm starting on April 18, 2021</w:t>
      </w:r>
      <w:r>
        <w:rPr>
          <w:rFonts w:ascii="Times New Roman" w:eastAsia="Hiragino Sans CNS W3" w:hAnsi="Times New Roman" w:cs="Times New Roman"/>
          <w:color w:val="000000"/>
        </w:rPr>
        <w:t>, in the 2024 Mw7.3 epicentral area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. The swarm </w:t>
      </w:r>
      <w:r>
        <w:rPr>
          <w:rFonts w:ascii="Times New Roman" w:eastAsia="Hiragino Sans CNS W3" w:hAnsi="Times New Roman" w:cs="Times New Roman"/>
          <w:color w:val="000000"/>
        </w:rPr>
        <w:t xml:space="preserve">occurred on the west-dipping Central Range fault </w:t>
      </w:r>
      <w:r w:rsidRPr="00BF608A">
        <w:rPr>
          <w:rFonts w:ascii="Times New Roman" w:hAnsi="Times New Roman" w:cs="Times New Roman"/>
          <w:color w:val="000000"/>
        </w:rPr>
        <w:t>exhibited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 a northward and upward migration pattern</w:t>
      </w:r>
      <w:r>
        <w:rPr>
          <w:rFonts w:ascii="Times New Roman" w:eastAsia="Hiragino Sans CNS W3" w:hAnsi="Times New Roman" w:cs="Times New Roman" w:hint="eastAsia"/>
          <w:color w:val="000000"/>
        </w:rPr>
        <w:t xml:space="preserve"> </w:t>
      </w:r>
      <w:r>
        <w:rPr>
          <w:rFonts w:ascii="Times New Roman" w:eastAsia="Hiragino Sans CNS W3" w:hAnsi="Times New Roman" w:cs="Times New Roman"/>
          <w:color w:val="000000"/>
        </w:rPr>
        <w:t xml:space="preserve">with 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a diffusion rate of </w:t>
      </w:r>
      <w:r>
        <w:rPr>
          <w:rFonts w:ascii="Times New Roman" w:hAnsi="Times New Roman" w:cs="Times New Roman"/>
          <w:color w:val="000000"/>
        </w:rPr>
        <w:t xml:space="preserve">~ </w:t>
      </w:r>
      <w:r w:rsidRPr="00BF608A">
        <w:rPr>
          <w:rFonts w:ascii="Times New Roman" w:eastAsia="Hiragino Sans CNS W3" w:hAnsi="Times New Roman" w:cs="Times New Roman"/>
          <w:color w:val="000000"/>
        </w:rPr>
        <w:t>6 m</w:t>
      </w:r>
      <w:r w:rsidRPr="00BF608A">
        <w:rPr>
          <w:rFonts w:ascii="Times New Roman" w:eastAsia="Hiragino Sans CNS W3" w:hAnsi="Times New Roman" w:cs="Times New Roman"/>
          <w:color w:val="000000"/>
          <w:vertAlign w:val="superscript"/>
        </w:rPr>
        <w:t>2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/s. </w:t>
      </w:r>
      <w:r>
        <w:rPr>
          <w:rFonts w:ascii="Times New Roman" w:hAnsi="Times New Roman" w:cs="Times New Roman"/>
          <w:color w:val="000000"/>
        </w:rPr>
        <w:t>After 2021 swarm sequence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, the regional aseismic slip rate </w:t>
      </w:r>
      <w:r w:rsidRPr="00BF608A">
        <w:rPr>
          <w:rFonts w:ascii="Times New Roman" w:hAnsi="Times New Roman" w:cs="Times New Roman"/>
          <w:color w:val="000000"/>
        </w:rPr>
        <w:t>initially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 decreased until an Mw 6.1 event in June 2022, followed by a gradual increase </w:t>
      </w:r>
      <w:r w:rsidRPr="00BF608A">
        <w:rPr>
          <w:rFonts w:ascii="Times New Roman" w:hAnsi="Times New Roman" w:cs="Times New Roman"/>
          <w:color w:val="000000"/>
        </w:rPr>
        <w:t>in the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 aseismic slip rate </w:t>
      </w:r>
      <w:r w:rsidRPr="00BF608A">
        <w:rPr>
          <w:rFonts w:ascii="Times New Roman" w:hAnsi="Times New Roman" w:cs="Times New Roman"/>
          <w:color w:val="000000"/>
        </w:rPr>
        <w:t xml:space="preserve">leading 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up to the mainshock </w:t>
      </w:r>
      <w:r w:rsidRPr="00BF608A">
        <w:rPr>
          <w:rFonts w:ascii="Times New Roman" w:hAnsi="Times New Roman" w:cs="Times New Roman"/>
          <w:color w:val="000000"/>
        </w:rPr>
        <w:t xml:space="preserve">over approximately </w:t>
      </w:r>
      <w:r w:rsidRPr="00BF608A">
        <w:rPr>
          <w:rFonts w:ascii="Times New Roman" w:eastAsia="Hiragino Sans CNS W3" w:hAnsi="Times New Roman" w:cs="Times New Roman"/>
          <w:color w:val="000000"/>
        </w:rPr>
        <w:t>1.5 years.</w:t>
      </w:r>
      <w:r w:rsidRPr="005E124B">
        <w:rPr>
          <w:rFonts w:ascii="Times New Roman" w:eastAsia="Hiragino Sans CNS W3" w:hAnsi="Times New Roman" w:cs="Times New Roman"/>
          <w:color w:val="FF0000"/>
        </w:rPr>
        <w:t xml:space="preserve"> </w:t>
      </w:r>
      <w:r w:rsidRPr="00BF608A">
        <w:rPr>
          <w:rFonts w:ascii="Times New Roman" w:eastAsia="Hiragino Sans CNS W3" w:hAnsi="Times New Roman" w:cs="Times New Roman" w:hint="eastAsia"/>
          <w:color w:val="000000"/>
        </w:rPr>
        <w:t>C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oncurrent with the accelerated aseismic slip, the Central Range Fault was characterized by a </w:t>
      </w:r>
      <w:r w:rsidRPr="00BF608A">
        <w:rPr>
          <w:rFonts w:ascii="Times New Roman" w:hAnsi="Times New Roman" w:cs="Times New Roman"/>
          <w:color w:val="000000"/>
        </w:rPr>
        <w:t>heightened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 seismicity rate until the 2024 Mw7.3 mainshock. </w:t>
      </w:r>
      <w:r w:rsidRPr="00BF608A">
        <w:rPr>
          <w:rFonts w:ascii="Times New Roman" w:hAnsi="Times New Roman" w:cs="Times New Roman"/>
        </w:rPr>
        <w:t xml:space="preserve">The resulting </w:t>
      </w:r>
      <w:r>
        <w:rPr>
          <w:rFonts w:ascii="Times New Roman" w:hAnsi="Times New Roman" w:cs="Times New Roman"/>
        </w:rPr>
        <w:t xml:space="preserve">static </w:t>
      </w:r>
      <w:r w:rsidRPr="00BF608A">
        <w:rPr>
          <w:rFonts w:ascii="Times New Roman" w:hAnsi="Times New Roman" w:cs="Times New Roman"/>
        </w:rPr>
        <w:t xml:space="preserve">Coulomb stress </w:t>
      </w:r>
      <w:r>
        <w:rPr>
          <w:rFonts w:ascii="Times New Roman" w:hAnsi="Times New Roman" w:cs="Times New Roman"/>
        </w:rPr>
        <w:t>change</w:t>
      </w:r>
      <w:r w:rsidRPr="00BF608A">
        <w:rPr>
          <w:rFonts w:ascii="Times New Roman" w:hAnsi="Times New Roman" w:cs="Times New Roman"/>
        </w:rPr>
        <w:t xml:space="preserve"> reveals that accumulated aseismic and seismic slips from swarms, RESs, and M6+ events on the CRF from mid-2021 to mid-2022 </w:t>
      </w:r>
      <w:r>
        <w:rPr>
          <w:rFonts w:ascii="Times New Roman" w:hAnsi="Times New Roman" w:cs="Times New Roman"/>
        </w:rPr>
        <w:t>generally</w:t>
      </w:r>
      <w:r w:rsidRPr="00BF608A">
        <w:rPr>
          <w:rFonts w:ascii="Times New Roman" w:hAnsi="Times New Roman" w:cs="Times New Roman"/>
        </w:rPr>
        <w:t xml:space="preserve"> produce positive stress changes (up to 20 kPa) on the same fault</w:t>
      </w:r>
      <w:r>
        <w:rPr>
          <w:rFonts w:ascii="Times New Roman" w:hAnsi="Times New Roman" w:cs="Times New Roman"/>
        </w:rPr>
        <w:t xml:space="preserve">. </w:t>
      </w:r>
      <w:r w:rsidRPr="00BF608A">
        <w:rPr>
          <w:rFonts w:ascii="Times New Roman" w:hAnsi="Times New Roman" w:cs="Times New Roman"/>
        </w:rPr>
        <w:t xml:space="preserve">The sequential seismic-aseismic interplay of faulting in the epicentral area of the </w:t>
      </w:r>
      <w:r w:rsidRPr="00BF608A">
        <w:rPr>
          <w:rFonts w:ascii="Times New Roman" w:eastAsia="Hiragino Sans CNS W3" w:hAnsi="Times New Roman" w:cs="Times New Roman"/>
          <w:color w:val="000000"/>
        </w:rPr>
        <w:t xml:space="preserve">2024 </w:t>
      </w:r>
      <w:r w:rsidRPr="00BF608A">
        <w:rPr>
          <w:rFonts w:ascii="Times New Roman" w:hAnsi="Times New Roman" w:cs="Times New Roman"/>
        </w:rPr>
        <w:t>Hualien event provides a rare example of aseismic-slip-induced stress triggering leading up to the 2024 Mw7.3 earthquake.</w:t>
      </w:r>
    </w:p>
    <w:p w14:paraId="27FEF639" w14:textId="5B11BA9E" w:rsidR="00BB5AD5" w:rsidRPr="00BB5AD5" w:rsidRDefault="00BB5AD5" w:rsidP="00BB5AD5">
      <w:pPr>
        <w:ind w:firstLineChars="193" w:firstLine="405"/>
        <w:rPr>
          <w:color w:val="FF0000"/>
          <w:szCs w:val="21"/>
          <w:lang w:val="en-US"/>
        </w:rPr>
      </w:pPr>
      <w:r w:rsidRPr="00BB5AD5">
        <w:rPr>
          <w:color w:val="FF0000"/>
          <w:szCs w:val="21"/>
          <w:lang w:val="en-US"/>
        </w:rPr>
        <w:t xml:space="preserve">You can make paragraphs and use equations. Please indicate the presenting author by an underline below his/her name. Please don’t change the heights of the header and the footer of this template. </w:t>
      </w:r>
    </w:p>
    <w:p w14:paraId="3CB6F93B" w14:textId="77777777" w:rsidR="00BB5AD5" w:rsidRPr="00BB5AD5" w:rsidRDefault="00BB5AD5" w:rsidP="00D3684D">
      <w:pPr>
        <w:ind w:firstLine="480"/>
        <w:rPr>
          <w:rFonts w:ascii="Times New Roman" w:eastAsia="Hiragino Sans CNS W3" w:hAnsi="Times New Roman" w:cs="Times New Roman"/>
          <w:color w:val="000000"/>
          <w:lang w:val="en-US"/>
        </w:rPr>
      </w:pPr>
    </w:p>
    <w:p w14:paraId="41CCACB2" w14:textId="509CD7F1" w:rsidR="00C04B0C" w:rsidRDefault="00D3684D" w:rsidP="002A7477">
      <w:pPr>
        <w:ind w:firstLineChars="193" w:firstLine="405"/>
        <w:rPr>
          <w:szCs w:val="21"/>
          <w:lang w:val="en-US"/>
        </w:rPr>
      </w:pPr>
      <w:r w:rsidRPr="00CC01D5">
        <w:rPr>
          <w:rFonts w:ascii="Times New Roman" w:hAnsi="Times New Roman" w:cs="Times New Roman"/>
          <w:noProof/>
          <w:lang w:val="en-US" w:eastAsia="zh-TW"/>
        </w:rPr>
        <w:lastRenderedPageBreak/>
        <w:drawing>
          <wp:inline distT="0" distB="0" distL="0" distR="0" wp14:anchorId="2C1510D1" wp14:editId="3F32FAB7">
            <wp:extent cx="5270500" cy="2908300"/>
            <wp:effectExtent l="0" t="0" r="0" b="0"/>
            <wp:docPr id="3273967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3967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D4A34" w14:textId="533AF14D" w:rsidR="00D3684D" w:rsidRDefault="00D3684D" w:rsidP="00D36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1. (a) Top: temporal distribution of earthquake swarm events (yellow curve). </w:t>
      </w:r>
      <w:proofErr w:type="spellStart"/>
      <w:r>
        <w:rPr>
          <w:rFonts w:ascii="Times New Roman" w:hAnsi="Times New Roman" w:cs="Times New Roman"/>
        </w:rPr>
        <w:t>Center</w:t>
      </w:r>
      <w:proofErr w:type="spellEnd"/>
      <w:r>
        <w:rPr>
          <w:rFonts w:ascii="Times New Roman" w:hAnsi="Times New Roman" w:cs="Times New Roman"/>
        </w:rPr>
        <w:t>: shallow seismicity (light blue curve &lt; 15 km</w:t>
      </w:r>
      <w:r w:rsidRPr="0072005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deep seismicity (dark blue curve &gt; 15 km). Bottom: aseismic slip rate (black curve) and RES events (vertical bars). All time series are from events in the </w:t>
      </w:r>
      <w:proofErr w:type="spellStart"/>
      <w:r>
        <w:rPr>
          <w:rFonts w:ascii="Times New Roman" w:hAnsi="Times New Roman" w:cs="Times New Roman"/>
        </w:rPr>
        <w:t>epicenteral</w:t>
      </w:r>
      <w:proofErr w:type="spellEnd"/>
      <w:r>
        <w:rPr>
          <w:rFonts w:ascii="Times New Roman" w:hAnsi="Times New Roman" w:cs="Times New Roman"/>
        </w:rPr>
        <w:t xml:space="preserve"> area of the 2024 M7.3 mainshock. Vertical red dashed lines indicate the time</w:t>
      </w:r>
      <w:r w:rsidRPr="0072005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three M6+ events during this period. Vertical </w:t>
      </w:r>
      <w:proofErr w:type="spellStart"/>
      <w:r>
        <w:rPr>
          <w:rFonts w:ascii="Times New Roman" w:hAnsi="Times New Roman" w:cs="Times New Roman"/>
        </w:rPr>
        <w:t>gray</w:t>
      </w:r>
      <w:proofErr w:type="spellEnd"/>
      <w:r>
        <w:rPr>
          <w:rFonts w:ascii="Times New Roman" w:hAnsi="Times New Roman" w:cs="Times New Roman"/>
        </w:rPr>
        <w:t xml:space="preserve"> dashed lines indicate the times of two M6+ events occurred on the south LV area. </w:t>
      </w:r>
      <w:r w:rsidRPr="0072005C">
        <w:rPr>
          <w:rFonts w:ascii="Times New Roman" w:hAnsi="Times New Roman" w:cs="Times New Roman"/>
        </w:rPr>
        <w:t>The vertical</w:t>
      </w:r>
      <w:r>
        <w:rPr>
          <w:rFonts w:ascii="Times New Roman" w:hAnsi="Times New Roman" w:cs="Times New Roman"/>
        </w:rPr>
        <w:t xml:space="preserve"> black line marks the end of </w:t>
      </w:r>
      <w:r w:rsidRPr="0072005C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2021 swarm. Numbered dashed lines denote different stages of seismic</w:t>
      </w:r>
      <w:r w:rsidRPr="0072005C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aseismic slip </w:t>
      </w:r>
      <w:proofErr w:type="spellStart"/>
      <w:r>
        <w:rPr>
          <w:rFonts w:ascii="Times New Roman" w:hAnsi="Times New Roman" w:cs="Times New Roman"/>
        </w:rPr>
        <w:t>behavior</w:t>
      </w:r>
      <w:proofErr w:type="spellEnd"/>
      <w:r>
        <w:rPr>
          <w:rFonts w:ascii="Times New Roman" w:hAnsi="Times New Roman" w:cs="Times New Roman"/>
        </w:rPr>
        <w:t xml:space="preserve">. (b) Conceptual model for the interplay between seismic and aseismic slip after 2021. Yellow and orange dashed lines outline the distribution of </w:t>
      </w:r>
      <w:r w:rsidRPr="0072005C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2021 and 2024 swarms, respectively, while </w:t>
      </w:r>
      <w:r w:rsidRPr="0072005C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bla</w:t>
      </w:r>
      <w:bookmarkStart w:id="0" w:name="_GoBack"/>
      <w:bookmarkEnd w:id="0"/>
      <w:r>
        <w:rPr>
          <w:rFonts w:ascii="Times New Roman" w:hAnsi="Times New Roman" w:cs="Times New Roman"/>
        </w:rPr>
        <w:t xml:space="preserve">ck dashed line outlines the distribution of the RESs. </w:t>
      </w:r>
      <w:r w:rsidRPr="0072005C">
        <w:rPr>
          <w:rFonts w:ascii="Times New Roman" w:hAnsi="Times New Roman" w:cs="Times New Roman"/>
        </w:rPr>
        <w:t>The fluid</w:t>
      </w:r>
      <w:r>
        <w:rPr>
          <w:rFonts w:ascii="Times New Roman" w:hAnsi="Times New Roman" w:cs="Times New Roman"/>
        </w:rPr>
        <w:t xml:space="preserve"> migration pattern during the 2021 swarm is denoted by arrows. The background </w:t>
      </w:r>
      <w:proofErr w:type="spellStart"/>
      <w:r>
        <w:rPr>
          <w:rFonts w:ascii="Times New Roman" w:hAnsi="Times New Roman" w:cs="Times New Roman"/>
        </w:rPr>
        <w:t>color</w:t>
      </w:r>
      <w:proofErr w:type="spellEnd"/>
      <w:r>
        <w:rPr>
          <w:rFonts w:ascii="Times New Roman" w:hAnsi="Times New Roman" w:cs="Times New Roman"/>
        </w:rPr>
        <w:t xml:space="preserve"> indicates the </w:t>
      </w:r>
      <w:proofErr w:type="spellStart"/>
      <w:r>
        <w:rPr>
          <w:rFonts w:ascii="Times New Roman" w:hAnsi="Times New Roman" w:cs="Times New Roman"/>
        </w:rPr>
        <w:t>Vp</w:t>
      </w:r>
      <w:proofErr w:type="spellEnd"/>
      <w:r>
        <w:rPr>
          <w:rFonts w:ascii="Times New Roman" w:hAnsi="Times New Roman" w:cs="Times New Roman"/>
        </w:rPr>
        <w:t>/Vs ratio from</w:t>
      </w:r>
      <w:r w:rsidRPr="0005505B">
        <w:rPr>
          <w:rFonts w:ascii="Times New Roman" w:hAnsi="Times New Roman" w:cs="Times New Roman"/>
          <w:color w:val="000000" w:themeColor="text1"/>
        </w:rPr>
        <w:t xml:space="preserve"> Huang et al. (2014). </w:t>
      </w:r>
    </w:p>
    <w:p w14:paraId="47DA99BE" w14:textId="77777777" w:rsidR="00D3684D" w:rsidRDefault="00D3684D" w:rsidP="00D3684D">
      <w:pPr>
        <w:rPr>
          <w:szCs w:val="21"/>
          <w:lang w:val="en-US"/>
        </w:rPr>
      </w:pPr>
    </w:p>
    <w:p w14:paraId="1671011F" w14:textId="77777777" w:rsidR="00E83F14" w:rsidRPr="00D3684D" w:rsidRDefault="00E83F14" w:rsidP="00D3684D">
      <w:pPr>
        <w:rPr>
          <w:szCs w:val="21"/>
          <w:lang w:val="en-US"/>
        </w:rPr>
      </w:pPr>
    </w:p>
    <w:p w14:paraId="50E5CCDC" w14:textId="0844C939" w:rsidR="00E83F14" w:rsidRPr="00E83F14" w:rsidRDefault="00E83F14" w:rsidP="00BD5D33">
      <w:pPr>
        <w:rPr>
          <w:b/>
          <w:bCs/>
          <w:sz w:val="28"/>
          <w:szCs w:val="28"/>
          <w:lang w:val="en-US" w:eastAsia="zh-TW"/>
        </w:rPr>
      </w:pPr>
      <w:r w:rsidRPr="00E83F14">
        <w:rPr>
          <w:b/>
          <w:bCs/>
          <w:sz w:val="28"/>
          <w:szCs w:val="28"/>
          <w:lang w:val="en-US" w:eastAsia="zh-TW"/>
        </w:rPr>
        <w:t>References</w:t>
      </w:r>
    </w:p>
    <w:p w14:paraId="1D075482" w14:textId="63D20468" w:rsidR="00E83F14" w:rsidRDefault="00E83F14" w:rsidP="00BD5D33">
      <w:pPr>
        <w:rPr>
          <w:szCs w:val="21"/>
          <w:lang w:val="en-US"/>
        </w:rPr>
      </w:pPr>
      <w:r w:rsidRPr="00E83F14">
        <w:rPr>
          <w:szCs w:val="21"/>
        </w:rPr>
        <w:t xml:space="preserve">Huang H-H, Wu Y-M, Song X, Chang C-H, Lee S-J, Chang T-M, Hsieh H-H (2014) Joint </w:t>
      </w:r>
      <w:proofErr w:type="spellStart"/>
      <w:r w:rsidRPr="00E83F14">
        <w:rPr>
          <w:szCs w:val="21"/>
        </w:rPr>
        <w:t>Vp</w:t>
      </w:r>
      <w:proofErr w:type="spellEnd"/>
      <w:r w:rsidRPr="00E83F14">
        <w:rPr>
          <w:szCs w:val="21"/>
        </w:rPr>
        <w:t xml:space="preserve"> and Vs tomography of Taiwan: implications for subduction-collision orogeny. Earth Planet Sci Lett 392:177–191</w:t>
      </w:r>
    </w:p>
    <w:p w14:paraId="211D3F44" w14:textId="77777777" w:rsidR="00E83F14" w:rsidRDefault="00E83F14" w:rsidP="00BD5D33">
      <w:pPr>
        <w:rPr>
          <w:szCs w:val="21"/>
          <w:lang w:val="en-US"/>
        </w:rPr>
      </w:pPr>
    </w:p>
    <w:p w14:paraId="7270AD77" w14:textId="77777777" w:rsidR="00E83F14" w:rsidRPr="00D07B8F" w:rsidRDefault="00E83F14" w:rsidP="00BD5D33">
      <w:pPr>
        <w:rPr>
          <w:szCs w:val="21"/>
          <w:lang w:val="en-US"/>
        </w:rPr>
      </w:pPr>
    </w:p>
    <w:sectPr w:rsidR="00E83F14" w:rsidRPr="00D07B8F" w:rsidSect="00970978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4FDC7" w14:textId="77777777" w:rsidR="00646F0E" w:rsidRDefault="00646F0E" w:rsidP="00496B55">
      <w:r>
        <w:separator/>
      </w:r>
    </w:p>
  </w:endnote>
  <w:endnote w:type="continuationSeparator" w:id="0">
    <w:p w14:paraId="71BF39B1" w14:textId="77777777" w:rsidR="00646F0E" w:rsidRDefault="00646F0E" w:rsidP="00496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iragino Sans CNS W3">
    <w:altName w:val="Malgun Gothic Semilight"/>
    <w:charset w:val="80"/>
    <w:family w:val="swiss"/>
    <w:pitch w:val="variable"/>
    <w:sig w:usb0="00000000" w:usb1="1A0F1900" w:usb2="00000016" w:usb3="00000000" w:csb0="00120005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6EF89" w14:textId="79358A35" w:rsidR="003E3FE8" w:rsidRDefault="003E3FE8" w:rsidP="003E3FE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467EA" w14:textId="77777777" w:rsidR="00646F0E" w:rsidRDefault="00646F0E" w:rsidP="00496B55">
      <w:r>
        <w:separator/>
      </w:r>
    </w:p>
  </w:footnote>
  <w:footnote w:type="continuationSeparator" w:id="0">
    <w:p w14:paraId="6A4303A9" w14:textId="77777777" w:rsidR="00646F0E" w:rsidRDefault="00646F0E" w:rsidP="00496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0FF9B" w14:textId="77777777" w:rsidR="00F7071B" w:rsidRDefault="00F7071B">
    <w:pPr>
      <w:pStyle w:val="a3"/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9AAC35" wp14:editId="10CD515C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17" name="矩形 25" title="文件標題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eastAsiaTheme="minorEastAsia"/>
                              <w:b/>
                              <w:kern w:val="2"/>
                              <w:sz w:val="24"/>
                              <w:szCs w:val="24"/>
                              <w:lang w:eastAsia="ja-JP"/>
                            </w:rPr>
                            <w:alias w:val="標題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14:paraId="7AF71925" w14:textId="4296329E" w:rsidR="00F7071B" w:rsidRDefault="00F7071B" w:rsidP="00F7071B">
                              <w:pPr>
                                <w:pStyle w:val="a9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 w:rsidRPr="00F7071B">
                                <w:rPr>
                                  <w:rFonts w:eastAsiaTheme="minorEastAsia"/>
                                  <w:b/>
                                  <w:kern w:val="2"/>
                                  <w:sz w:val="24"/>
                                  <w:szCs w:val="24"/>
                                  <w:lang w:eastAsia="ja-JP"/>
                                </w:rPr>
                                <w:t>12th ACES International Workshop,</w:t>
                              </w:r>
                              <w:r w:rsidR="00D3684D">
                                <w:rPr>
                                  <w:rFonts w:eastAsiaTheme="minorEastAsia"/>
                                  <w:b/>
                                  <w:kern w:val="2"/>
                                  <w:sz w:val="24"/>
                                  <w:szCs w:val="24"/>
                                  <w:lang w:eastAsia="ja-JP"/>
                                </w:rPr>
                                <w:t xml:space="preserve"> </w:t>
                              </w:r>
                              <w:r w:rsidRPr="00F7071B">
                                <w:rPr>
                                  <w:rFonts w:eastAsiaTheme="minorEastAsia"/>
                                  <w:b/>
                                  <w:kern w:val="2"/>
                                  <w:sz w:val="24"/>
                                  <w:szCs w:val="24"/>
                                  <w:lang w:eastAsia="ja-JP"/>
                                </w:rPr>
                                <w:t>Ta</w:t>
                              </w:r>
                              <w:r w:rsidR="00D3684D">
                                <w:rPr>
                                  <w:rFonts w:eastAsiaTheme="minorEastAsia"/>
                                  <w:b/>
                                  <w:kern w:val="2"/>
                                  <w:sz w:val="24"/>
                                  <w:szCs w:val="24"/>
                                  <w:lang w:eastAsia="ja-JP"/>
                                </w:rPr>
                                <w:t>i</w:t>
                              </w:r>
                              <w:r w:rsidRPr="00F7071B">
                                <w:rPr>
                                  <w:rFonts w:eastAsiaTheme="minorEastAsia"/>
                                  <w:b/>
                                  <w:kern w:val="2"/>
                                  <w:sz w:val="24"/>
                                  <w:szCs w:val="24"/>
                                  <w:lang w:eastAsia="ja-JP"/>
                                </w:rPr>
                                <w:t>pei, Nov. 3-7, 2025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9AAC35" id="矩形 25" o:spid="_x0000_s1026" alt="標題: 文件標題" style="position:absolute;left:0;text-align:left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" fillcolor="#44546a [3215]" stroked="f" strokeweight="1pt">
              <v:textbox inset=",0,,0">
                <w:txbxContent>
                  <w:sdt>
                    <w:sdtPr>
                      <w:rPr>
                        <w:rFonts w:eastAsiaTheme="minorEastAsia"/>
                        <w:b/>
                        <w:kern w:val="2"/>
                        <w:sz w:val="24"/>
                        <w:szCs w:val="24"/>
                        <w:lang w:eastAsia="ja-JP"/>
                      </w:rPr>
                      <w:alias w:val="標題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EndPr/>
                    <w:sdtContent>
                      <w:p w14:paraId="7AF71925" w14:textId="4296329E" w:rsidR="00F7071B" w:rsidRDefault="00F7071B" w:rsidP="00F7071B">
                        <w:pPr>
                          <w:pStyle w:val="a9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 w:rsidRPr="00F7071B">
                          <w:rPr>
                            <w:rFonts w:eastAsiaTheme="minorEastAsia"/>
                            <w:b/>
                            <w:kern w:val="2"/>
                            <w:sz w:val="24"/>
                            <w:szCs w:val="24"/>
                            <w:lang w:eastAsia="ja-JP"/>
                          </w:rPr>
                          <w:t>12th ACES International Workshop,</w:t>
                        </w:r>
                        <w:r w:rsidR="00D3684D">
                          <w:rPr>
                            <w:rFonts w:eastAsiaTheme="minorEastAsia"/>
                            <w:b/>
                            <w:kern w:val="2"/>
                            <w:sz w:val="24"/>
                            <w:szCs w:val="24"/>
                            <w:lang w:eastAsia="ja-JP"/>
                          </w:rPr>
                          <w:t xml:space="preserve"> </w:t>
                        </w:r>
                        <w:r w:rsidRPr="00F7071B">
                          <w:rPr>
                            <w:rFonts w:eastAsiaTheme="minorEastAsia"/>
                            <w:b/>
                            <w:kern w:val="2"/>
                            <w:sz w:val="24"/>
                            <w:szCs w:val="24"/>
                            <w:lang w:eastAsia="ja-JP"/>
                          </w:rPr>
                          <w:t>Ta</w:t>
                        </w:r>
                        <w:r w:rsidR="00D3684D">
                          <w:rPr>
                            <w:rFonts w:eastAsiaTheme="minorEastAsia"/>
                            <w:b/>
                            <w:kern w:val="2"/>
                            <w:sz w:val="24"/>
                            <w:szCs w:val="24"/>
                            <w:lang w:eastAsia="ja-JP"/>
                          </w:rPr>
                          <w:t>i</w:t>
                        </w:r>
                        <w:r w:rsidRPr="00F7071B">
                          <w:rPr>
                            <w:rFonts w:eastAsiaTheme="minorEastAsia"/>
                            <w:b/>
                            <w:kern w:val="2"/>
                            <w:sz w:val="24"/>
                            <w:szCs w:val="24"/>
                            <w:lang w:eastAsia="ja-JP"/>
                          </w:rPr>
                          <w:t>pei, Nov. 3-7, 2025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601D835F" w14:textId="6C96E426" w:rsidR="003E3FE8" w:rsidRPr="003E3FE8" w:rsidRDefault="003E3FE8" w:rsidP="003E3F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246CD"/>
    <w:multiLevelType w:val="hybridMultilevel"/>
    <w:tmpl w:val="07DC011E"/>
    <w:lvl w:ilvl="0" w:tplc="E7EE13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1C5E33"/>
    <w:multiLevelType w:val="hybridMultilevel"/>
    <w:tmpl w:val="8A705578"/>
    <w:lvl w:ilvl="0" w:tplc="3230DB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123"/>
    <w:rsid w:val="00011783"/>
    <w:rsid w:val="0005505B"/>
    <w:rsid w:val="00057E93"/>
    <w:rsid w:val="0008301E"/>
    <w:rsid w:val="000D5B96"/>
    <w:rsid w:val="000E39F1"/>
    <w:rsid w:val="000F74E7"/>
    <w:rsid w:val="00104C67"/>
    <w:rsid w:val="001B603A"/>
    <w:rsid w:val="001B7976"/>
    <w:rsid w:val="002060F4"/>
    <w:rsid w:val="00225626"/>
    <w:rsid w:val="00241A7E"/>
    <w:rsid w:val="00261E5C"/>
    <w:rsid w:val="002A7477"/>
    <w:rsid w:val="002C2257"/>
    <w:rsid w:val="002C3DFD"/>
    <w:rsid w:val="002C4EF1"/>
    <w:rsid w:val="002C5099"/>
    <w:rsid w:val="002F56CB"/>
    <w:rsid w:val="0034332C"/>
    <w:rsid w:val="003A6DA1"/>
    <w:rsid w:val="003C603D"/>
    <w:rsid w:val="003E3FE8"/>
    <w:rsid w:val="003F2032"/>
    <w:rsid w:val="0040198F"/>
    <w:rsid w:val="004279A4"/>
    <w:rsid w:val="00434D76"/>
    <w:rsid w:val="004534BB"/>
    <w:rsid w:val="00454A4A"/>
    <w:rsid w:val="00486769"/>
    <w:rsid w:val="004929D5"/>
    <w:rsid w:val="00496B55"/>
    <w:rsid w:val="004A0F20"/>
    <w:rsid w:val="004A4CAA"/>
    <w:rsid w:val="004A7FAE"/>
    <w:rsid w:val="004C1F36"/>
    <w:rsid w:val="004E0EF9"/>
    <w:rsid w:val="005167E9"/>
    <w:rsid w:val="005174D0"/>
    <w:rsid w:val="00520A67"/>
    <w:rsid w:val="00546670"/>
    <w:rsid w:val="005561D3"/>
    <w:rsid w:val="005925F3"/>
    <w:rsid w:val="005C163D"/>
    <w:rsid w:val="005C322C"/>
    <w:rsid w:val="00602C92"/>
    <w:rsid w:val="006268C7"/>
    <w:rsid w:val="00642BBB"/>
    <w:rsid w:val="00643FB4"/>
    <w:rsid w:val="00646F0E"/>
    <w:rsid w:val="00651BA2"/>
    <w:rsid w:val="00656EE7"/>
    <w:rsid w:val="006616A9"/>
    <w:rsid w:val="00682D0E"/>
    <w:rsid w:val="00696C53"/>
    <w:rsid w:val="006A1D81"/>
    <w:rsid w:val="006B2609"/>
    <w:rsid w:val="006E1730"/>
    <w:rsid w:val="006F4835"/>
    <w:rsid w:val="00707DA7"/>
    <w:rsid w:val="007101C7"/>
    <w:rsid w:val="00712440"/>
    <w:rsid w:val="00712C4A"/>
    <w:rsid w:val="00722457"/>
    <w:rsid w:val="00723DD1"/>
    <w:rsid w:val="00742D82"/>
    <w:rsid w:val="00791CEC"/>
    <w:rsid w:val="007B691C"/>
    <w:rsid w:val="007F6B63"/>
    <w:rsid w:val="007F6CEF"/>
    <w:rsid w:val="0082621E"/>
    <w:rsid w:val="008630CA"/>
    <w:rsid w:val="00870EFC"/>
    <w:rsid w:val="008958E0"/>
    <w:rsid w:val="008C58CF"/>
    <w:rsid w:val="00952417"/>
    <w:rsid w:val="009578EC"/>
    <w:rsid w:val="00970978"/>
    <w:rsid w:val="00973B93"/>
    <w:rsid w:val="009D4FA2"/>
    <w:rsid w:val="009D6996"/>
    <w:rsid w:val="009F3FEB"/>
    <w:rsid w:val="00A04067"/>
    <w:rsid w:val="00A069CC"/>
    <w:rsid w:val="00A52A45"/>
    <w:rsid w:val="00A700EE"/>
    <w:rsid w:val="00A748A1"/>
    <w:rsid w:val="00A76455"/>
    <w:rsid w:val="00A96312"/>
    <w:rsid w:val="00AB31F3"/>
    <w:rsid w:val="00AB4466"/>
    <w:rsid w:val="00AD4CB2"/>
    <w:rsid w:val="00B27D6A"/>
    <w:rsid w:val="00B27E2E"/>
    <w:rsid w:val="00B366A9"/>
    <w:rsid w:val="00B433B9"/>
    <w:rsid w:val="00B46A3F"/>
    <w:rsid w:val="00B55B99"/>
    <w:rsid w:val="00B75CA6"/>
    <w:rsid w:val="00B85ABD"/>
    <w:rsid w:val="00BB5AD5"/>
    <w:rsid w:val="00BD39DF"/>
    <w:rsid w:val="00BD5D33"/>
    <w:rsid w:val="00C043A9"/>
    <w:rsid w:val="00C04B0C"/>
    <w:rsid w:val="00C04E79"/>
    <w:rsid w:val="00C05705"/>
    <w:rsid w:val="00C1691C"/>
    <w:rsid w:val="00C26847"/>
    <w:rsid w:val="00C51E0D"/>
    <w:rsid w:val="00C567AF"/>
    <w:rsid w:val="00C6492A"/>
    <w:rsid w:val="00C65300"/>
    <w:rsid w:val="00C9313A"/>
    <w:rsid w:val="00C93A7E"/>
    <w:rsid w:val="00D008AC"/>
    <w:rsid w:val="00D07B8F"/>
    <w:rsid w:val="00D15A31"/>
    <w:rsid w:val="00D202B7"/>
    <w:rsid w:val="00D21EA7"/>
    <w:rsid w:val="00D33123"/>
    <w:rsid w:val="00D3684D"/>
    <w:rsid w:val="00D523A2"/>
    <w:rsid w:val="00D67C7F"/>
    <w:rsid w:val="00D8565B"/>
    <w:rsid w:val="00DC2577"/>
    <w:rsid w:val="00DC29B2"/>
    <w:rsid w:val="00DD1A0E"/>
    <w:rsid w:val="00DE404A"/>
    <w:rsid w:val="00DF3020"/>
    <w:rsid w:val="00E04CF3"/>
    <w:rsid w:val="00E35261"/>
    <w:rsid w:val="00E618AF"/>
    <w:rsid w:val="00E63B93"/>
    <w:rsid w:val="00E83F14"/>
    <w:rsid w:val="00E904C3"/>
    <w:rsid w:val="00E9706E"/>
    <w:rsid w:val="00F31FD1"/>
    <w:rsid w:val="00F33AB2"/>
    <w:rsid w:val="00F43455"/>
    <w:rsid w:val="00F4423E"/>
    <w:rsid w:val="00F61705"/>
    <w:rsid w:val="00F7071B"/>
    <w:rsid w:val="00F94B58"/>
    <w:rsid w:val="00FD07BE"/>
    <w:rsid w:val="00FF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1F8F84"/>
  <w15:docId w15:val="{73D8A949-F2B3-C743-BF65-3A6AF144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496B55"/>
    <w:rPr>
      <w:lang w:val="en-GB"/>
    </w:rPr>
  </w:style>
  <w:style w:type="paragraph" w:styleId="a5">
    <w:name w:val="footer"/>
    <w:basedOn w:val="a"/>
    <w:link w:val="a6"/>
    <w:uiPriority w:val="99"/>
    <w:unhideWhenUsed/>
    <w:rsid w:val="00496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496B55"/>
    <w:rPr>
      <w:lang w:val="en-GB"/>
    </w:rPr>
  </w:style>
  <w:style w:type="character" w:styleId="a7">
    <w:name w:val="Placeholder Text"/>
    <w:basedOn w:val="a0"/>
    <w:uiPriority w:val="99"/>
    <w:semiHidden/>
    <w:rsid w:val="00AB4466"/>
    <w:rPr>
      <w:color w:val="808080"/>
    </w:rPr>
  </w:style>
  <w:style w:type="character" w:styleId="a8">
    <w:name w:val="Hyperlink"/>
    <w:basedOn w:val="a0"/>
    <w:uiPriority w:val="99"/>
    <w:unhideWhenUsed/>
    <w:rsid w:val="00C05705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C05705"/>
    <w:rPr>
      <w:color w:val="808080"/>
      <w:shd w:val="clear" w:color="auto" w:fill="E6E6E6"/>
    </w:rPr>
  </w:style>
  <w:style w:type="paragraph" w:styleId="a9">
    <w:name w:val="No Spacing"/>
    <w:uiPriority w:val="1"/>
    <w:qFormat/>
    <w:rsid w:val="00F7071B"/>
    <w:rPr>
      <w:rFonts w:eastAsia="Microsoft JhengHei UI"/>
      <w:kern w:val="0"/>
      <w:sz w:val="22"/>
      <w:lang w:eastAsia="zh-CN"/>
    </w:rPr>
  </w:style>
  <w:style w:type="paragraph" w:styleId="aa">
    <w:name w:val="List Paragraph"/>
    <w:basedOn w:val="a"/>
    <w:uiPriority w:val="34"/>
    <w:qFormat/>
    <w:rsid w:val="00F7071B"/>
    <w:pPr>
      <w:ind w:leftChars="200" w:left="480"/>
      <w:jc w:val="left"/>
    </w:pPr>
    <w:rPr>
      <w:sz w:val="24"/>
      <w:szCs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12th ACES International Workshop, Taipei, Nov. 3-7, 2025</dc:title>
  <dc:subject/>
  <dc:creator>hnoda</dc:creator>
  <cp:keywords/>
  <dc:description/>
  <cp:lastModifiedBy>Nina Lin</cp:lastModifiedBy>
  <cp:revision>7</cp:revision>
  <cp:lastPrinted>2018-05-23T00:38:00Z</cp:lastPrinted>
  <dcterms:created xsi:type="dcterms:W3CDTF">2018-06-01T09:55:00Z</dcterms:created>
  <dcterms:modified xsi:type="dcterms:W3CDTF">2024-12-23T09:05:00Z</dcterms:modified>
</cp:coreProperties>
</file>